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Times New Roman" w:hAnsi="Times New Roman" w:cs="Times New Roman"/>
          <w:sz w:val="24"/>
          <w:szCs w:val="24"/>
        </w:rPr>
      </w:pPr>
      <w:r>
        <w:rPr>
          <w:rFonts w:ascii="楷体" w:hAnsi="楷体" w:eastAsia="楷体" w:cs="楷体"/>
          <w:sz w:val="28"/>
          <w:szCs w:val="28"/>
          <w:bdr w:val="none" w:color="auto" w:sz="0" w:space="0"/>
        </w:rPr>
        <w:t>附件</w:t>
      </w:r>
      <w:r>
        <w:rPr>
          <w:rFonts w:hint="default" w:ascii="Times New Roman" w:hAnsi="Times New Roman" w:cs="Times New Roman"/>
          <w:sz w:val="28"/>
          <w:szCs w:val="28"/>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cs="Times New Roman"/>
          <w:spacing w:val="-11"/>
          <w:sz w:val="40"/>
          <w:szCs w:val="40"/>
          <w:bdr w:val="none" w:color="auto" w:sz="0" w:space="0"/>
        </w:rPr>
        <w:t>2021</w:t>
      </w:r>
      <w:r>
        <w:rPr>
          <w:rFonts w:ascii="黑体" w:hAnsi="宋体" w:eastAsia="黑体" w:cs="黑体"/>
          <w:spacing w:val="-11"/>
          <w:sz w:val="40"/>
          <w:szCs w:val="40"/>
          <w:bdr w:val="none" w:color="auto" w:sz="0" w:space="0"/>
        </w:rPr>
        <w:t>年新邵县高级中学引进人才计划表</w:t>
      </w:r>
    </w:p>
    <w:tbl>
      <w:tblPr>
        <w:tblW w:w="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06"/>
        <w:gridCol w:w="863"/>
        <w:gridCol w:w="885"/>
        <w:gridCol w:w="910"/>
        <w:gridCol w:w="910"/>
        <w:gridCol w:w="910"/>
        <w:gridCol w:w="910"/>
        <w:gridCol w:w="964"/>
        <w:gridCol w:w="9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8" w:hRule="atLeast"/>
          <w:jc w:val="center"/>
        </w:trPr>
        <w:tc>
          <w:tcPr>
            <w:tcW w:w="1408"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60"/>
              <w:jc w:val="both"/>
              <w:rPr>
                <w:rFonts w:hint="default" w:ascii="Times New Roman" w:hAnsi="Times New Roman" w:cs="Times New Roman"/>
                <w:sz w:val="24"/>
                <w:szCs w:val="24"/>
              </w:rPr>
            </w:pPr>
            <w:r>
              <w:rPr>
                <w:rFonts w:ascii="仿宋" w:hAnsi="仿宋" w:eastAsia="仿宋" w:cs="仿宋"/>
                <w:sz w:val="28"/>
                <w:szCs w:val="28"/>
                <w:bdr w:val="none" w:color="auto" w:sz="0" w:space="0"/>
              </w:rPr>
              <w:t>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Times New Roman" w:hAnsi="Times New Roman" w:cs="Times New Roman"/>
                <w:sz w:val="24"/>
                <w:szCs w:val="24"/>
              </w:rPr>
            </w:pPr>
            <w:r>
              <w:rPr>
                <w:rFonts w:hint="eastAsia" w:ascii="仿宋" w:hAnsi="仿宋" w:eastAsia="仿宋" w:cs="仿宋"/>
                <w:sz w:val="28"/>
                <w:szCs w:val="28"/>
                <w:bdr w:val="none" w:color="auto" w:sz="0" w:space="0"/>
              </w:rPr>
              <w:t>岗位</w:t>
            </w:r>
          </w:p>
        </w:tc>
        <w:tc>
          <w:tcPr>
            <w:tcW w:w="8582" w:type="dxa"/>
            <w:gridSpan w:val="6"/>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引进人才学校与计划数</w:t>
            </w:r>
          </w:p>
        </w:tc>
        <w:tc>
          <w:tcPr>
            <w:tcW w:w="158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小计</w:t>
            </w:r>
          </w:p>
        </w:tc>
        <w:tc>
          <w:tcPr>
            <w:tcW w:w="158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07" w:hRule="atLeast"/>
          <w:jc w:val="center"/>
        </w:trPr>
        <w:tc>
          <w:tcPr>
            <w:tcW w:w="1408"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新邵一中</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新邵二中</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新邵三中</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新邵四中</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新邵五中</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新邵八中</w:t>
            </w:r>
          </w:p>
        </w:tc>
        <w:tc>
          <w:tcPr>
            <w:tcW w:w="158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58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36"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语文</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2</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2</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数学</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80"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英语</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69"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物理</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2</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5</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8"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化学</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2"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生物</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2</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3</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36"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地理</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2</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2</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8</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5"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信息技术</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52"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政治</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3</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历史</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3</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67"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心理学</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13" w:hRule="atLeast"/>
          <w:jc w:val="center"/>
        </w:trPr>
        <w:tc>
          <w:tcPr>
            <w:tcW w:w="1408"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合计</w:t>
            </w:r>
          </w:p>
        </w:tc>
        <w:tc>
          <w:tcPr>
            <w:tcW w:w="135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3</w:t>
            </w:r>
          </w:p>
        </w:tc>
        <w:tc>
          <w:tcPr>
            <w:tcW w:w="14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5</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3</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4</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2</w:t>
            </w:r>
          </w:p>
        </w:tc>
        <w:tc>
          <w:tcPr>
            <w:tcW w:w="145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12</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29</w:t>
            </w:r>
          </w:p>
        </w:tc>
        <w:tc>
          <w:tcPr>
            <w:tcW w:w="158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8"/>
                <w:szCs w:val="28"/>
                <w:bdr w:val="none" w:color="auto" w:sz="0" w:space="0"/>
              </w:rPr>
              <w:t> </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Times New Roman" w:hAnsi="Times New Roman" w:cs="Times New Roman"/>
          <w:sz w:val="24"/>
          <w:szCs w:val="24"/>
        </w:rPr>
      </w:pPr>
      <w:r>
        <w:rPr>
          <w:rFonts w:hint="eastAsia" w:ascii="楷体" w:hAnsi="楷体" w:eastAsia="楷体" w:cs="楷体"/>
          <w:sz w:val="28"/>
          <w:szCs w:val="28"/>
          <w:bdr w:val="none" w:color="auto" w:sz="0" w:space="0"/>
        </w:rPr>
        <w:t>附件</w:t>
      </w:r>
      <w:r>
        <w:rPr>
          <w:rFonts w:hint="default" w:ascii="Times New Roman" w:hAnsi="Times New Roman" w:cs="Times New Roman"/>
          <w:sz w:val="28"/>
          <w:szCs w:val="28"/>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default" w:ascii="Times New Roman" w:hAnsi="Times New Roman" w:cs="Times New Roman"/>
          <w:sz w:val="24"/>
          <w:szCs w:val="24"/>
        </w:rPr>
      </w:pPr>
      <w:r>
        <w:rPr>
          <w:rFonts w:hint="default" w:ascii="Times New Roman" w:hAnsi="Times New Roman" w:cs="Times New Roman"/>
          <w:sz w:val="44"/>
          <w:szCs w:val="44"/>
          <w:bdr w:val="none" w:color="auto" w:sz="0" w:space="0"/>
        </w:rPr>
        <w:t>2021</w:t>
      </w:r>
      <w:r>
        <w:rPr>
          <w:rFonts w:hint="eastAsia" w:ascii="黑体" w:hAnsi="宋体" w:eastAsia="黑体" w:cs="黑体"/>
          <w:sz w:val="44"/>
          <w:szCs w:val="44"/>
          <w:bdr w:val="none" w:color="auto" w:sz="0" w:space="0"/>
        </w:rPr>
        <w:t>年新邵县高级中学引进人才岗位要求与计划一览表</w:t>
      </w:r>
    </w:p>
    <w:tbl>
      <w:tblPr>
        <w:tblW w:w="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59"/>
        <w:gridCol w:w="618"/>
        <w:gridCol w:w="601"/>
        <w:gridCol w:w="478"/>
        <w:gridCol w:w="1815"/>
        <w:gridCol w:w="821"/>
        <w:gridCol w:w="1769"/>
        <w:gridCol w:w="826"/>
        <w:gridCol w:w="550"/>
        <w:gridCol w:w="5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tblHeader/>
          <w:jc w:val="center"/>
        </w:trPr>
        <w:tc>
          <w:tcPr>
            <w:tcW w:w="57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default" w:ascii="Times New Roman" w:hAnsi="Times New Roman" w:cs="Times New Roman"/>
                <w:sz w:val="21"/>
                <w:szCs w:val="21"/>
              </w:rPr>
            </w:pPr>
            <w:r>
              <w:rPr>
                <w:rFonts w:hint="eastAsia" w:ascii="仿宋" w:hAnsi="仿宋" w:eastAsia="仿宋" w:cs="仿宋"/>
                <w:spacing w:val="-6"/>
                <w:sz w:val="21"/>
                <w:szCs w:val="21"/>
                <w:bdr w:val="none" w:color="auto" w:sz="0" w:space="0"/>
              </w:rPr>
              <w:t>聘用单位</w:t>
            </w:r>
          </w:p>
        </w:tc>
        <w:tc>
          <w:tcPr>
            <w:tcW w:w="1145"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default" w:ascii="Times New Roman" w:hAnsi="Times New Roman" w:cs="Times New Roman"/>
                <w:sz w:val="21"/>
                <w:szCs w:val="21"/>
              </w:rPr>
            </w:pPr>
            <w:r>
              <w:rPr>
                <w:rFonts w:hint="eastAsia" w:ascii="仿宋" w:hAnsi="仿宋" w:eastAsia="仿宋" w:cs="仿宋"/>
                <w:spacing w:val="-6"/>
                <w:sz w:val="21"/>
                <w:szCs w:val="21"/>
                <w:bdr w:val="none" w:color="auto" w:sz="0" w:space="0"/>
              </w:rPr>
              <w:t>职位名称</w:t>
            </w:r>
          </w:p>
        </w:tc>
        <w:tc>
          <w:tcPr>
            <w:tcW w:w="660"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default" w:ascii="Times New Roman" w:hAnsi="Times New Roman" w:cs="Times New Roman"/>
                <w:sz w:val="21"/>
                <w:szCs w:val="21"/>
              </w:rPr>
            </w:pPr>
            <w:r>
              <w:rPr>
                <w:rFonts w:hint="eastAsia" w:ascii="仿宋" w:hAnsi="仿宋" w:eastAsia="仿宋" w:cs="仿宋"/>
                <w:spacing w:val="-6"/>
                <w:sz w:val="21"/>
                <w:szCs w:val="21"/>
                <w:bdr w:val="none" w:color="auto" w:sz="0" w:space="0"/>
              </w:rPr>
              <w:t>职位代码</w:t>
            </w:r>
          </w:p>
        </w:tc>
        <w:tc>
          <w:tcPr>
            <w:tcW w:w="613"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default" w:ascii="Times New Roman" w:hAnsi="Times New Roman" w:cs="Times New Roman"/>
                <w:sz w:val="21"/>
                <w:szCs w:val="21"/>
              </w:rPr>
            </w:pPr>
            <w:r>
              <w:rPr>
                <w:rFonts w:hint="eastAsia" w:ascii="仿宋" w:hAnsi="仿宋" w:eastAsia="仿宋" w:cs="仿宋"/>
                <w:spacing w:val="-6"/>
                <w:sz w:val="21"/>
                <w:szCs w:val="21"/>
                <w:bdr w:val="none" w:color="auto" w:sz="0" w:space="0"/>
              </w:rPr>
              <w:t>引进计划</w:t>
            </w:r>
          </w:p>
        </w:tc>
        <w:tc>
          <w:tcPr>
            <w:tcW w:w="10650" w:type="dxa"/>
            <w:gridSpan w:val="5"/>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default" w:ascii="Times New Roman" w:hAnsi="Times New Roman" w:cs="Times New Roman"/>
                <w:sz w:val="21"/>
                <w:szCs w:val="21"/>
              </w:rPr>
            </w:pPr>
            <w:r>
              <w:rPr>
                <w:rFonts w:hint="eastAsia" w:ascii="仿宋" w:hAnsi="仿宋" w:eastAsia="仿宋" w:cs="仿宋"/>
                <w:spacing w:val="-6"/>
                <w:sz w:val="21"/>
                <w:szCs w:val="21"/>
                <w:bdr w:val="none" w:color="auto" w:sz="0" w:space="0"/>
              </w:rPr>
              <w:t>职位条件</w:t>
            </w:r>
          </w:p>
        </w:tc>
        <w:tc>
          <w:tcPr>
            <w:tcW w:w="1028"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default" w:ascii="Times New Roman" w:hAnsi="Times New Roman" w:cs="Times New Roman"/>
                <w:sz w:val="21"/>
                <w:szCs w:val="21"/>
              </w:rPr>
            </w:pPr>
            <w:r>
              <w:rPr>
                <w:rFonts w:hint="eastAsia" w:ascii="仿宋" w:hAnsi="仿宋" w:eastAsia="仿宋" w:cs="仿宋"/>
                <w:spacing w:val="-6"/>
                <w:sz w:val="21"/>
                <w:szCs w:val="21"/>
                <w:bdr w:val="none" w:color="auto" w:sz="0" w:space="0"/>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tblHeader/>
          <w:jc w:val="center"/>
        </w:trPr>
        <w:tc>
          <w:tcPr>
            <w:tcW w:w="57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60"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613"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专业</w:t>
            </w:r>
          </w:p>
        </w:tc>
        <w:tc>
          <w:tcPr>
            <w:tcW w:w="13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年龄</w:t>
            </w:r>
          </w:p>
        </w:tc>
        <w:tc>
          <w:tcPr>
            <w:tcW w:w="19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学历</w:t>
            </w:r>
          </w:p>
        </w:tc>
        <w:tc>
          <w:tcPr>
            <w:tcW w:w="17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教师资格证要求</w:t>
            </w:r>
          </w:p>
        </w:tc>
        <w:tc>
          <w:tcPr>
            <w:tcW w:w="8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引进人才范围</w:t>
            </w:r>
          </w:p>
        </w:tc>
        <w:tc>
          <w:tcPr>
            <w:tcW w:w="1028"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0" w:hRule="atLeast"/>
          <w:jc w:val="center"/>
        </w:trPr>
        <w:tc>
          <w:tcPr>
            <w:tcW w:w="577"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default" w:ascii="Times New Roman" w:hAnsi="Times New Roman" w:cs="Times New Roman"/>
                <w:sz w:val="21"/>
                <w:szCs w:val="21"/>
              </w:rPr>
            </w:pPr>
            <w:r>
              <w:rPr>
                <w:rFonts w:hint="eastAsia" w:ascii="仿宋" w:hAnsi="仿宋" w:eastAsia="仿宋" w:cs="仿宋"/>
                <w:spacing w:val="-6"/>
                <w:sz w:val="21"/>
                <w:szCs w:val="21"/>
                <w:bdr w:val="none" w:color="auto" w:sz="0" w:space="0"/>
              </w:rPr>
              <w:t>相应学校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bdr w:val="none" w:color="auto" w:sz="0" w:space="0"/>
              </w:rPr>
              <w:t>语文教师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298" w:right="0" w:hanging="298"/>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A1</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2</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4"/>
                <w:szCs w:val="24"/>
                <w:bdr w:val="none" w:color="auto" w:sz="0" w:space="0"/>
              </w:rPr>
              <w:t>中国语言文学类</w:t>
            </w:r>
          </w:p>
        </w:tc>
        <w:tc>
          <w:tcPr>
            <w:tcW w:w="1300"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硕士研究生及以上学历人员为1986年7月1日以后出生；其他考生为1991年7月1日以后出生</w:t>
            </w:r>
          </w:p>
        </w:tc>
        <w:tc>
          <w:tcPr>
            <w:tcW w:w="1984"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2019</w:t>
            </w:r>
            <w:r>
              <w:rPr>
                <w:rFonts w:hint="eastAsia" w:ascii="仿宋" w:hAnsi="仿宋" w:eastAsia="仿宋" w:cs="仿宋"/>
                <w:sz w:val="21"/>
                <w:szCs w:val="21"/>
                <w:bdr w:val="none" w:color="auto" w:sz="0" w:space="0"/>
              </w:rPr>
              <w:t>年及以后毕业的“双一流”中的“一流大学建设高校”或原国家“211”“985”工程重点高等院校本科学历并取得学士学位（不包括所属本科独立学院）或2019年及以后毕业的研究生及以上学历并取得硕士学位</w:t>
            </w:r>
          </w:p>
        </w:tc>
        <w:tc>
          <w:tcPr>
            <w:tcW w:w="1783"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bdr w:val="none" w:color="auto" w:sz="0" w:space="0"/>
              </w:rPr>
              <w:t>具有高中及以上相应学科教师资格证</w:t>
            </w:r>
          </w:p>
        </w:tc>
        <w:tc>
          <w:tcPr>
            <w:tcW w:w="872"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面向全国</w:t>
            </w:r>
          </w:p>
        </w:tc>
        <w:tc>
          <w:tcPr>
            <w:tcW w:w="1028"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3"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bdr w:val="none" w:color="auto" w:sz="0" w:space="0"/>
              </w:rPr>
              <w:t>数学教师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A2</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1</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bdr w:val="none" w:color="auto" w:sz="0" w:space="0"/>
              </w:rPr>
              <w:t>数学类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bdr w:val="none" w:color="auto" w:sz="0" w:space="0"/>
              </w:rPr>
              <w:t>英语教师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A3</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1</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bdr w:val="none" w:color="auto" w:sz="0" w:space="0"/>
              </w:rPr>
              <w:t>英语类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bdr w:val="none" w:color="auto" w:sz="0" w:space="0"/>
              </w:rPr>
              <w:t>（均需取得全国高校英语专业八级证书）</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74"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bdr w:val="none" w:color="auto" w:sz="0" w:space="0"/>
              </w:rPr>
              <w:t>物理教师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A4</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5</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bdr w:val="none" w:color="auto" w:sz="0" w:space="0"/>
              </w:rPr>
              <w:t>物理学类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1"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bdr w:val="none" w:color="auto" w:sz="0" w:space="0"/>
              </w:rPr>
              <w:t>化学教师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A5</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1</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bdr w:val="none" w:color="auto" w:sz="0" w:space="0"/>
              </w:rPr>
              <w:t>化学类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4"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bdr w:val="none" w:color="auto" w:sz="0" w:space="0"/>
              </w:rPr>
              <w:t>生物教师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A6</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3</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bdr w:val="none" w:color="auto" w:sz="0" w:space="0"/>
              </w:rPr>
              <w:t>生物学类、生物科学类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bdr w:val="none" w:color="auto" w:sz="0" w:space="0"/>
              </w:rPr>
              <w:t>地理教师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A7</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8</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bdr w:val="none" w:color="auto" w:sz="0" w:space="0"/>
              </w:rPr>
              <w:t>地理学类、地理科学类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bdr w:val="none" w:color="auto" w:sz="0" w:space="0"/>
              </w:rPr>
              <w:t>信息技术教师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A8</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1</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bdr w:val="none" w:color="auto" w:sz="0" w:space="0"/>
              </w:rPr>
              <w:t>电子、通信、计算机类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bdr w:val="none" w:color="auto" w:sz="0" w:space="0"/>
              </w:rPr>
              <w:t>政治教师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A9</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3</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bdr w:val="none" w:color="auto" w:sz="0" w:space="0"/>
              </w:rPr>
              <w:t>政治学类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567"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bdr w:val="none" w:color="auto" w:sz="0" w:space="0"/>
              </w:rPr>
              <w:t>历史教师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A10</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3</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bdr w:val="none" w:color="auto" w:sz="0" w:space="0"/>
              </w:rPr>
              <w:t>历史学类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70"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bdr w:val="none" w:color="auto" w:sz="0" w:space="0"/>
              </w:rPr>
              <w:t>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pacing w:val="-6"/>
                <w:sz w:val="21"/>
                <w:szCs w:val="21"/>
                <w:bdr w:val="none" w:color="auto" w:sz="0" w:space="0"/>
              </w:rPr>
              <w:t>教师</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A11</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1</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bdr w:val="none" w:color="auto" w:sz="0" w:space="0"/>
              </w:rPr>
              <w:t>心理学类</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630" w:hRule="atLeast"/>
          <w:jc w:val="center"/>
        </w:trPr>
        <w:tc>
          <w:tcPr>
            <w:tcW w:w="57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145"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cs="Times New Roman"/>
                <w:spacing w:val="-6"/>
                <w:sz w:val="21"/>
                <w:szCs w:val="21"/>
                <w:bdr w:val="none" w:color="auto" w:sz="0" w:space="0"/>
              </w:rPr>
              <w:t> </w:t>
            </w:r>
          </w:p>
        </w:tc>
        <w:tc>
          <w:tcPr>
            <w:tcW w:w="66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default" w:ascii="Times New Roman" w:hAnsi="Times New Roman" w:cs="Times New Roman"/>
                <w:sz w:val="24"/>
                <w:szCs w:val="24"/>
                <w:bdr w:val="none" w:color="auto" w:sz="0" w:space="0"/>
                <w:shd w:val="clear" w:fill="FFFFFF"/>
              </w:rPr>
              <w:t> </w:t>
            </w:r>
          </w:p>
        </w:tc>
        <w:tc>
          <w:tcPr>
            <w:tcW w:w="1300"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984"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783"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872"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1028"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30" w:hRule="atLeast"/>
          <w:jc w:val="center"/>
        </w:trPr>
        <w:tc>
          <w:tcPr>
            <w:tcW w:w="2382" w:type="dxa"/>
            <w:gridSpan w:val="3"/>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eastAsia" w:ascii="仿宋" w:hAnsi="仿宋" w:eastAsia="仿宋" w:cs="仿宋"/>
                <w:sz w:val="21"/>
                <w:szCs w:val="21"/>
                <w:bdr w:val="none" w:color="auto" w:sz="0" w:space="0"/>
              </w:rPr>
              <w:t>合计</w:t>
            </w:r>
          </w:p>
        </w:tc>
        <w:tc>
          <w:tcPr>
            <w:tcW w:w="61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29</w:t>
            </w:r>
          </w:p>
        </w:tc>
        <w:tc>
          <w:tcPr>
            <w:tcW w:w="4711"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1300"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1984"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tc>
        <w:tc>
          <w:tcPr>
            <w:tcW w:w="1783"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4"/>
                <w:szCs w:val="24"/>
              </w:rPr>
            </w:pPr>
            <w:r>
              <w:rPr>
                <w:rFonts w:hint="eastAsia" w:ascii="仿宋" w:hAnsi="仿宋" w:eastAsia="仿宋" w:cs="仿宋"/>
                <w:sz w:val="24"/>
                <w:szCs w:val="24"/>
                <w:bdr w:val="none" w:color="auto" w:sz="0" w:space="0"/>
              </w:rPr>
              <w:t> </w:t>
            </w:r>
          </w:p>
        </w:tc>
        <w:tc>
          <w:tcPr>
            <w:tcW w:w="87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default" w:ascii="Times New Roman" w:hAnsi="Times New Roman" w:cs="Times New Roman"/>
                <w:sz w:val="21"/>
                <w:szCs w:val="21"/>
              </w:rPr>
            </w:pPr>
            <w:r>
              <w:rPr>
                <w:rFonts w:hint="default" w:ascii="Times New Roman" w:hAnsi="Times New Roman" w:cs="Times New Roman"/>
                <w:spacing w:val="-6"/>
                <w:sz w:val="21"/>
                <w:szCs w:val="21"/>
                <w:bdr w:val="none" w:color="auto" w:sz="0" w:space="0"/>
              </w:rPr>
              <w:t> </w:t>
            </w:r>
          </w:p>
        </w:tc>
        <w:tc>
          <w:tcPr>
            <w:tcW w:w="1028"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0" w:lineRule="atLeast"/>
              <w:ind w:left="0" w:right="0"/>
              <w:jc w:val="center"/>
              <w:rPr>
                <w:rFonts w:hint="default" w:ascii="Times New Roman" w:hAnsi="Times New Roman" w:cs="Times New Roman"/>
                <w:sz w:val="21"/>
                <w:szCs w:val="21"/>
              </w:rPr>
            </w:pPr>
            <w:r>
              <w:rPr>
                <w:rFonts w:hint="default" w:ascii="Times New Roman" w:hAnsi="Times New Roman" w:cs="Times New Roman"/>
                <w:spacing w:val="-6"/>
                <w:sz w:val="21"/>
                <w:szCs w:val="21"/>
                <w:bdr w:val="none" w:color="auto" w:sz="0" w:space="0"/>
              </w:rPr>
              <w:t> </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80" w:lineRule="atLeast"/>
        <w:ind w:left="0" w:right="0"/>
        <w:jc w:val="both"/>
        <w:rPr>
          <w:rFonts w:hint="default" w:ascii="Times New Roman" w:hAnsi="Times New Roman" w:cs="Times New Roman"/>
          <w:sz w:val="24"/>
          <w:szCs w:val="24"/>
        </w:rPr>
      </w:pPr>
      <w:r>
        <w:rPr>
          <w:rFonts w:hint="eastAsia" w:ascii="楷体" w:hAnsi="楷体" w:eastAsia="楷体" w:cs="楷体"/>
          <w:sz w:val="28"/>
          <w:szCs w:val="28"/>
          <w:bdr w:val="none" w:color="auto" w:sz="0" w:space="0"/>
        </w:rPr>
        <w:t>附件</w:t>
      </w:r>
      <w:r>
        <w:rPr>
          <w:rFonts w:hint="default" w:ascii="Times New Roman" w:hAnsi="Times New Roman" w:cs="Times New Roman"/>
          <w:sz w:val="28"/>
          <w:szCs w:val="28"/>
          <w:bdr w:val="none" w:color="auto" w:sz="0" w:space="0"/>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cs="Times New Roman"/>
          <w:sz w:val="44"/>
          <w:szCs w:val="44"/>
          <w:bdr w:val="none" w:color="auto" w:sz="0" w:space="0"/>
        </w:rPr>
        <w:t>2021</w:t>
      </w:r>
      <w:r>
        <w:rPr>
          <w:rFonts w:hint="eastAsia" w:ascii="黑体" w:hAnsi="宋体" w:eastAsia="黑体" w:cs="黑体"/>
          <w:sz w:val="44"/>
          <w:szCs w:val="44"/>
          <w:bdr w:val="none" w:color="auto" w:sz="0" w:space="0"/>
        </w:rPr>
        <w:t>年新邵县高级中学引进人才报名登记表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both"/>
        <w:rPr>
          <w:rFonts w:hint="default" w:ascii="Times New Roman" w:hAnsi="Times New Roman" w:cs="Times New Roman"/>
          <w:sz w:val="21"/>
          <w:szCs w:val="21"/>
        </w:rPr>
      </w:pPr>
      <w:r>
        <w:rPr>
          <w:rFonts w:hint="eastAsia" w:ascii="仿宋" w:hAnsi="仿宋" w:eastAsia="仿宋" w:cs="仿宋"/>
          <w:sz w:val="24"/>
          <w:szCs w:val="24"/>
          <w:bdr w:val="none" w:color="auto" w:sz="0" w:space="0"/>
        </w:rPr>
        <w:t>职位名称：                        职位代码：            报名序号：</w:t>
      </w:r>
    </w:p>
    <w:tbl>
      <w:tblPr>
        <w:tblW w:w="0" w:type="dxa"/>
        <w:jc w:val="center"/>
        <w:shd w:val="clear"/>
        <w:tblLayout w:type="autofit"/>
        <w:tblCellMar>
          <w:top w:w="0" w:type="dxa"/>
          <w:left w:w="0" w:type="dxa"/>
          <w:bottom w:w="0" w:type="dxa"/>
          <w:right w:w="0" w:type="dxa"/>
        </w:tblCellMar>
      </w:tblPr>
      <w:tblGrid>
        <w:gridCol w:w="516"/>
        <w:gridCol w:w="1061"/>
        <w:gridCol w:w="16"/>
        <w:gridCol w:w="2459"/>
        <w:gridCol w:w="28"/>
        <w:gridCol w:w="1734"/>
        <w:gridCol w:w="32"/>
        <w:gridCol w:w="256"/>
        <w:gridCol w:w="35"/>
        <w:gridCol w:w="59"/>
        <w:gridCol w:w="696"/>
        <w:gridCol w:w="612"/>
        <w:gridCol w:w="67"/>
        <w:gridCol w:w="6"/>
        <w:gridCol w:w="789"/>
      </w:tblGrid>
      <w:tr>
        <w:tblPrEx>
          <w:shd w:val="clear"/>
        </w:tblPrEx>
        <w:trPr>
          <w:trHeight w:val="477" w:hRule="atLeast"/>
          <w:jc w:val="center"/>
        </w:trPr>
        <w:tc>
          <w:tcPr>
            <w:tcW w:w="1260" w:type="dxa"/>
            <w:gridSpan w:val="2"/>
            <w:tcBorders>
              <w:top w:val="single" w:color="auto" w:sz="8" w:space="0"/>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姓名</w:t>
            </w:r>
          </w:p>
        </w:tc>
        <w:tc>
          <w:tcPr>
            <w:tcW w:w="1796" w:type="dxa"/>
            <w:gridSpan w:val="2"/>
            <w:tcBorders>
              <w:top w:val="single" w:color="auto" w:sz="8" w:space="0"/>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093" w:type="dxa"/>
            <w:gridSpan w:val="2"/>
            <w:tcBorders>
              <w:top w:val="single" w:color="auto" w:sz="8" w:space="0"/>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性别</w:t>
            </w:r>
          </w:p>
        </w:tc>
        <w:tc>
          <w:tcPr>
            <w:tcW w:w="846" w:type="dxa"/>
            <w:gridSpan w:val="4"/>
            <w:tcBorders>
              <w:top w:val="single" w:color="auto" w:sz="8" w:space="0"/>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358" w:type="dxa"/>
            <w:tcBorders>
              <w:top w:val="single" w:color="auto" w:sz="8" w:space="0"/>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民族</w:t>
            </w:r>
          </w:p>
        </w:tc>
        <w:tc>
          <w:tcPr>
            <w:tcW w:w="1258" w:type="dxa"/>
            <w:gridSpan w:val="3"/>
            <w:tcBorders>
              <w:top w:val="single" w:color="auto" w:sz="8" w:space="0"/>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754" w:type="dxa"/>
            <w:vMerge w:val="restart"/>
            <w:tcBorders>
              <w:top w:val="single" w:color="auto" w:sz="8" w:space="0"/>
              <w:left w:val="nil"/>
              <w:bottom w:val="nil"/>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现场照相相片</w:t>
            </w:r>
          </w:p>
        </w:tc>
      </w:tr>
      <w:tr>
        <w:tblPrEx>
          <w:shd w:val="clear"/>
          <w:tblCellMar>
            <w:top w:w="0" w:type="dxa"/>
            <w:left w:w="0" w:type="dxa"/>
            <w:bottom w:w="0" w:type="dxa"/>
            <w:right w:w="0" w:type="dxa"/>
          </w:tblCellMar>
        </w:tblPrEx>
        <w:trPr>
          <w:trHeight w:val="525" w:hRule="atLeast"/>
          <w:jc w:val="center"/>
        </w:trPr>
        <w:tc>
          <w:tcPr>
            <w:tcW w:w="1260" w:type="dxa"/>
            <w:gridSpan w:val="2"/>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出生年月</w:t>
            </w:r>
          </w:p>
        </w:tc>
        <w:tc>
          <w:tcPr>
            <w:tcW w:w="1796" w:type="dxa"/>
            <w:gridSpan w:val="2"/>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093" w:type="dxa"/>
            <w:gridSpan w:val="2"/>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政治面貌</w:t>
            </w:r>
          </w:p>
        </w:tc>
        <w:tc>
          <w:tcPr>
            <w:tcW w:w="846" w:type="dxa"/>
            <w:gridSpan w:val="4"/>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358" w:type="dxa"/>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学历学位</w:t>
            </w:r>
          </w:p>
        </w:tc>
        <w:tc>
          <w:tcPr>
            <w:tcW w:w="1258" w:type="dxa"/>
            <w:gridSpan w:val="3"/>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754" w:type="dxa"/>
            <w:vMerge w:val="continue"/>
            <w:tcBorders>
              <w:top w:val="single" w:color="auto" w:sz="8" w:space="0"/>
              <w:left w:val="nil"/>
              <w:bottom w:val="nil"/>
              <w:right w:val="single" w:color="auto" w:sz="8" w:space="0"/>
            </w:tcBorders>
            <w:shd w:val="clear"/>
            <w:tcMar>
              <w:left w:w="30" w:type="dxa"/>
              <w:right w:w="30"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502" w:hRule="atLeast"/>
          <w:jc w:val="center"/>
        </w:trPr>
        <w:tc>
          <w:tcPr>
            <w:tcW w:w="1260" w:type="dxa"/>
            <w:gridSpan w:val="2"/>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毕业院校</w:t>
            </w:r>
          </w:p>
        </w:tc>
        <w:tc>
          <w:tcPr>
            <w:tcW w:w="3735" w:type="dxa"/>
            <w:gridSpan w:val="8"/>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358" w:type="dxa"/>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所学专业</w:t>
            </w:r>
          </w:p>
        </w:tc>
        <w:tc>
          <w:tcPr>
            <w:tcW w:w="1258" w:type="dxa"/>
            <w:gridSpan w:val="3"/>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754" w:type="dxa"/>
            <w:vMerge w:val="continue"/>
            <w:tcBorders>
              <w:top w:val="single" w:color="auto" w:sz="8" w:space="0"/>
              <w:left w:val="nil"/>
              <w:bottom w:val="nil"/>
              <w:right w:val="single" w:color="auto" w:sz="8" w:space="0"/>
            </w:tcBorders>
            <w:shd w:val="clear"/>
            <w:tcMar>
              <w:left w:w="30" w:type="dxa"/>
              <w:right w:w="30"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465" w:hRule="atLeast"/>
          <w:jc w:val="center"/>
        </w:trPr>
        <w:tc>
          <w:tcPr>
            <w:tcW w:w="1260" w:type="dxa"/>
            <w:gridSpan w:val="2"/>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毕业证号</w:t>
            </w:r>
          </w:p>
        </w:tc>
        <w:tc>
          <w:tcPr>
            <w:tcW w:w="3735" w:type="dxa"/>
            <w:gridSpan w:val="8"/>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358" w:type="dxa"/>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毕业时间</w:t>
            </w:r>
          </w:p>
        </w:tc>
        <w:tc>
          <w:tcPr>
            <w:tcW w:w="1258" w:type="dxa"/>
            <w:gridSpan w:val="3"/>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754" w:type="dxa"/>
            <w:vMerge w:val="continue"/>
            <w:tcBorders>
              <w:top w:val="single" w:color="auto" w:sz="8" w:space="0"/>
              <w:left w:val="nil"/>
              <w:bottom w:val="nil"/>
              <w:right w:val="single" w:color="auto" w:sz="8" w:space="0"/>
            </w:tcBorders>
            <w:shd w:val="clear"/>
            <w:tcMar>
              <w:left w:w="30" w:type="dxa"/>
              <w:right w:w="30" w:type="dxa"/>
            </w:tcMar>
            <w:vAlign w:val="center"/>
          </w:tcPr>
          <w:p>
            <w:pPr>
              <w:rPr>
                <w:rFonts w:hint="eastAsia" w:ascii="宋体"/>
                <w:sz w:val="24"/>
                <w:szCs w:val="24"/>
              </w:rPr>
            </w:pPr>
          </w:p>
        </w:tc>
      </w:tr>
      <w:tr>
        <w:tblPrEx>
          <w:shd w:val="clear"/>
          <w:tblCellMar>
            <w:top w:w="0" w:type="dxa"/>
            <w:left w:w="0" w:type="dxa"/>
            <w:bottom w:w="0" w:type="dxa"/>
            <w:right w:w="0" w:type="dxa"/>
          </w:tblCellMar>
        </w:tblPrEx>
        <w:trPr>
          <w:trHeight w:val="421" w:hRule="atLeast"/>
          <w:jc w:val="center"/>
        </w:trPr>
        <w:tc>
          <w:tcPr>
            <w:tcW w:w="1260" w:type="dxa"/>
            <w:gridSpan w:val="2"/>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户  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所在地</w:t>
            </w:r>
          </w:p>
        </w:tc>
        <w:tc>
          <w:tcPr>
            <w:tcW w:w="1805" w:type="dxa"/>
            <w:gridSpan w:val="3"/>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084" w:type="dxa"/>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婚姻状况</w:t>
            </w:r>
          </w:p>
        </w:tc>
        <w:tc>
          <w:tcPr>
            <w:tcW w:w="3456" w:type="dxa"/>
            <w:gridSpan w:val="7"/>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760" w:type="dxa"/>
            <w:gridSpan w:val="2"/>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shd w:val="clear"/>
          <w:tblCellMar>
            <w:top w:w="0" w:type="dxa"/>
            <w:left w:w="0" w:type="dxa"/>
            <w:bottom w:w="0" w:type="dxa"/>
            <w:right w:w="0" w:type="dxa"/>
          </w:tblCellMar>
        </w:tblPrEx>
        <w:trPr>
          <w:trHeight w:val="503" w:hRule="atLeast"/>
          <w:jc w:val="center"/>
        </w:trPr>
        <w:tc>
          <w:tcPr>
            <w:tcW w:w="1266" w:type="dxa"/>
            <w:gridSpan w:val="3"/>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身份证号</w:t>
            </w:r>
          </w:p>
        </w:tc>
        <w:tc>
          <w:tcPr>
            <w:tcW w:w="3729" w:type="dxa"/>
            <w:gridSpan w:val="7"/>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358" w:type="dxa"/>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有何特长</w:t>
            </w:r>
          </w:p>
        </w:tc>
        <w:tc>
          <w:tcPr>
            <w:tcW w:w="3012" w:type="dxa"/>
            <w:gridSpan w:val="4"/>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shd w:val="clear"/>
          <w:tblCellMar>
            <w:top w:w="0" w:type="dxa"/>
            <w:left w:w="0" w:type="dxa"/>
            <w:bottom w:w="0" w:type="dxa"/>
            <w:right w:w="0" w:type="dxa"/>
          </w:tblCellMar>
        </w:tblPrEx>
        <w:trPr>
          <w:trHeight w:val="487" w:hRule="atLeast"/>
          <w:jc w:val="center"/>
        </w:trPr>
        <w:tc>
          <w:tcPr>
            <w:tcW w:w="1260" w:type="dxa"/>
            <w:gridSpan w:val="2"/>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通讯地址</w:t>
            </w:r>
          </w:p>
        </w:tc>
        <w:tc>
          <w:tcPr>
            <w:tcW w:w="5093" w:type="dxa"/>
            <w:gridSpan w:val="9"/>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019" w:type="dxa"/>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邮政编码</w:t>
            </w:r>
          </w:p>
        </w:tc>
        <w:tc>
          <w:tcPr>
            <w:tcW w:w="1993" w:type="dxa"/>
            <w:gridSpan w:val="3"/>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shd w:val="clear"/>
          <w:tblCellMar>
            <w:top w:w="0" w:type="dxa"/>
            <w:left w:w="0" w:type="dxa"/>
            <w:bottom w:w="0" w:type="dxa"/>
            <w:right w:w="0" w:type="dxa"/>
          </w:tblCellMar>
        </w:tblPrEx>
        <w:trPr>
          <w:trHeight w:val="635" w:hRule="atLeast"/>
          <w:jc w:val="center"/>
        </w:trPr>
        <w:tc>
          <w:tcPr>
            <w:tcW w:w="1260" w:type="dxa"/>
            <w:gridSpan w:val="2"/>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移动电话（必填）</w:t>
            </w:r>
          </w:p>
        </w:tc>
        <w:tc>
          <w:tcPr>
            <w:tcW w:w="3542" w:type="dxa"/>
            <w:gridSpan w:val="6"/>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1551" w:type="dxa"/>
            <w:gridSpan w:val="3"/>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固定电话</w:t>
            </w:r>
          </w:p>
        </w:tc>
        <w:tc>
          <w:tcPr>
            <w:tcW w:w="3012" w:type="dxa"/>
            <w:gridSpan w:val="4"/>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shd w:val="clear"/>
          <w:tblCellMar>
            <w:top w:w="0" w:type="dxa"/>
            <w:left w:w="0" w:type="dxa"/>
            <w:bottom w:w="0" w:type="dxa"/>
            <w:right w:w="0" w:type="dxa"/>
          </w:tblCellMar>
        </w:tblPrEx>
        <w:trPr>
          <w:trHeight w:val="1238" w:hRule="atLeast"/>
          <w:jc w:val="center"/>
        </w:trPr>
        <w:tc>
          <w:tcPr>
            <w:tcW w:w="1260" w:type="dxa"/>
            <w:gridSpan w:val="2"/>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简历</w:t>
            </w:r>
          </w:p>
        </w:tc>
        <w:tc>
          <w:tcPr>
            <w:tcW w:w="8105" w:type="dxa"/>
            <w:gridSpan w:val="13"/>
            <w:tcBorders>
              <w:top w:val="nil"/>
              <w:left w:val="nil"/>
              <w:bottom w:val="nil"/>
              <w:right w:val="single" w:color="auto" w:sz="8" w:space="0"/>
            </w:tcBorders>
            <w:shd w:val="clear"/>
            <w:tcMar>
              <w:left w:w="30" w:type="dxa"/>
              <w:right w:w="3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shd w:val="clear"/>
          <w:tblCellMar>
            <w:top w:w="0" w:type="dxa"/>
            <w:left w:w="0" w:type="dxa"/>
            <w:bottom w:w="0" w:type="dxa"/>
            <w:right w:w="0" w:type="dxa"/>
          </w:tblCellMar>
        </w:tblPrEx>
        <w:trPr>
          <w:trHeight w:val="1195" w:hRule="atLeast"/>
          <w:jc w:val="center"/>
        </w:trPr>
        <w:tc>
          <w:tcPr>
            <w:tcW w:w="1260" w:type="dxa"/>
            <w:gridSpan w:val="2"/>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与引进岗位相关的实践经历或取得的成绩</w:t>
            </w:r>
          </w:p>
        </w:tc>
        <w:tc>
          <w:tcPr>
            <w:tcW w:w="8105" w:type="dxa"/>
            <w:gridSpan w:val="13"/>
            <w:tcBorders>
              <w:top w:val="single" w:color="auto" w:sz="8" w:space="0"/>
              <w:left w:val="nil"/>
              <w:bottom w:val="nil"/>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shd w:val="clear"/>
          <w:tblCellMar>
            <w:top w:w="0" w:type="dxa"/>
            <w:left w:w="0" w:type="dxa"/>
            <w:bottom w:w="0" w:type="dxa"/>
            <w:right w:w="0" w:type="dxa"/>
          </w:tblCellMar>
        </w:tblPrEx>
        <w:trPr>
          <w:trHeight w:val="2326" w:hRule="atLeast"/>
          <w:jc w:val="center"/>
        </w:trPr>
        <w:tc>
          <w:tcPr>
            <w:tcW w:w="543" w:type="dxa"/>
            <w:vMerge w:val="restart"/>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3621" w:type="dxa"/>
            <w:gridSpan w:val="6"/>
            <w:vMerge w:val="restart"/>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54"/>
              <w:jc w:val="both"/>
              <w:rPr>
                <w:rFonts w:hint="default" w:ascii="Times New Roman" w:hAnsi="Times New Roman" w:cs="Times New Roman"/>
                <w:sz w:val="21"/>
                <w:szCs w:val="21"/>
              </w:rPr>
            </w:pPr>
            <w:r>
              <w:rPr>
                <w:rFonts w:hint="eastAsia" w:ascii="楷体" w:hAnsi="楷体" w:eastAsia="楷体" w:cs="楷体"/>
                <w:b/>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354"/>
              <w:jc w:val="both"/>
              <w:rPr>
                <w:rFonts w:hint="default" w:ascii="Times New Roman" w:hAnsi="Times New Roman" w:cs="Times New Roman"/>
                <w:sz w:val="21"/>
                <w:szCs w:val="21"/>
              </w:rPr>
            </w:pPr>
            <w:r>
              <w:rPr>
                <w:rFonts w:hint="eastAsia" w:ascii="楷体" w:hAnsi="楷体" w:eastAsia="楷体" w:cs="楷体"/>
                <w:b/>
                <w:sz w:val="24"/>
                <w:szCs w:val="24"/>
                <w:bdr w:val="none" w:color="auto" w:sz="0" w:space="0"/>
              </w:rPr>
              <w:t>本人承诺所提供的材料真实有效，符合引进岗位所需的资格条件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eastAsia" w:ascii="楷体" w:hAnsi="楷体" w:eastAsia="楷体" w:cs="楷体"/>
                <w:b/>
                <w:sz w:val="24"/>
                <w:szCs w:val="24"/>
                <w:bdr w:val="none" w:color="auto" w:sz="0" w:space="0"/>
              </w:rPr>
              <w:t>。如有弄虚作假，承诺自动放弃考试和聘用资格。并承诺一经聘用，五年内不要求工作调动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eastAsia" w:ascii="楷体" w:hAnsi="楷体" w:eastAsia="楷体" w:cs="楷体"/>
                <w:b/>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472"/>
              <w:jc w:val="both"/>
              <w:rPr>
                <w:rFonts w:hint="default" w:ascii="Times New Roman" w:hAnsi="Times New Roman" w:cs="Times New Roman"/>
                <w:sz w:val="21"/>
                <w:szCs w:val="21"/>
              </w:rPr>
            </w:pPr>
            <w:r>
              <w:rPr>
                <w:rFonts w:hint="eastAsia" w:ascii="楷体" w:hAnsi="楷体" w:eastAsia="楷体" w:cs="楷体"/>
                <w:b/>
                <w:sz w:val="24"/>
                <w:szCs w:val="24"/>
                <w:bdr w:val="none" w:color="auto" w:sz="0" w:space="0"/>
              </w:rPr>
              <w:t>应聘人签名：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both"/>
              <w:rPr>
                <w:rFonts w:hint="default" w:ascii="Times New Roman" w:hAnsi="Times New Roman" w:cs="Times New Roman"/>
                <w:sz w:val="21"/>
                <w:szCs w:val="21"/>
              </w:rPr>
            </w:pPr>
            <w:r>
              <w:rPr>
                <w:rFonts w:hint="eastAsia" w:ascii="楷体" w:hAnsi="楷体" w:eastAsia="楷体" w:cs="楷体"/>
                <w:b/>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1525"/>
              <w:jc w:val="both"/>
              <w:rPr>
                <w:rFonts w:hint="default" w:ascii="Times New Roman" w:hAnsi="Times New Roman" w:cs="Times New Roman"/>
                <w:sz w:val="21"/>
                <w:szCs w:val="21"/>
              </w:rPr>
            </w:pPr>
            <w:r>
              <w:rPr>
                <w:rFonts w:hint="eastAsia" w:ascii="楷体" w:hAnsi="楷体" w:eastAsia="楷体" w:cs="楷体"/>
                <w:b/>
                <w:sz w:val="24"/>
                <w:szCs w:val="24"/>
                <w:bdr w:val="none" w:color="auto" w:sz="0" w:space="0"/>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5340" w:right="0"/>
              <w:jc w:val="both"/>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c>
          <w:tcPr>
            <w:tcW w:w="724" w:type="dxa"/>
            <w:gridSpan w:val="2"/>
            <w:vMerge w:val="restart"/>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见</w:t>
            </w:r>
          </w:p>
        </w:tc>
        <w:tc>
          <w:tcPr>
            <w:tcW w:w="4477" w:type="dxa"/>
            <w:gridSpan w:val="6"/>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楷体" w:hAnsi="楷体" w:eastAsia="楷体" w:cs="楷体"/>
                <w:b/>
                <w:sz w:val="24"/>
                <w:szCs w:val="24"/>
                <w:bdr w:val="none" w:color="auto" w:sz="0" w:space="0"/>
              </w:rPr>
              <w:t>初审合格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楷体" w:hAnsi="楷体" w:eastAsia="楷体" w:cs="楷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楷体" w:hAnsi="楷体" w:eastAsia="楷体" w:cs="楷体"/>
                <w:sz w:val="24"/>
                <w:szCs w:val="24"/>
                <w:bdr w:val="none" w:color="auto" w:sz="0" w:space="0"/>
              </w:rPr>
              <w:t>审查人签名：     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1999"/>
              <w:jc w:val="both"/>
              <w:rPr>
                <w:rFonts w:hint="default" w:ascii="Times New Roman" w:hAnsi="Times New Roman" w:cs="Times New Roman"/>
                <w:sz w:val="21"/>
                <w:szCs w:val="21"/>
              </w:rPr>
            </w:pPr>
            <w:r>
              <w:rPr>
                <w:rFonts w:hint="eastAsia" w:ascii="楷体" w:hAnsi="楷体" w:eastAsia="楷体" w:cs="楷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1920"/>
              <w:jc w:val="both"/>
              <w:rPr>
                <w:rFonts w:hint="default" w:ascii="Times New Roman" w:hAnsi="Times New Roman" w:cs="Times New Roman"/>
                <w:sz w:val="21"/>
                <w:szCs w:val="21"/>
              </w:rPr>
            </w:pPr>
            <w:r>
              <w:rPr>
                <w:rFonts w:hint="eastAsia" w:ascii="楷体" w:hAnsi="楷体" w:eastAsia="楷体" w:cs="楷体"/>
                <w:sz w:val="24"/>
                <w:szCs w:val="24"/>
                <w:bdr w:val="none" w:color="auto" w:sz="0" w:space="0"/>
              </w:rPr>
              <w:t>年     月    日</w:t>
            </w:r>
          </w:p>
        </w:tc>
      </w:tr>
      <w:tr>
        <w:tblPrEx>
          <w:shd w:val="clear"/>
          <w:tblCellMar>
            <w:top w:w="0" w:type="dxa"/>
            <w:left w:w="0" w:type="dxa"/>
            <w:bottom w:w="0" w:type="dxa"/>
            <w:right w:w="0" w:type="dxa"/>
          </w:tblCellMar>
        </w:tblPrEx>
        <w:trPr>
          <w:trHeight w:val="1849" w:hRule="atLeast"/>
          <w:jc w:val="center"/>
        </w:trPr>
        <w:tc>
          <w:tcPr>
            <w:tcW w:w="543" w:type="dxa"/>
            <w:vMerge w:val="continue"/>
            <w:tcBorders>
              <w:top w:val="nil"/>
              <w:left w:val="single" w:color="auto" w:sz="8" w:space="0"/>
              <w:bottom w:val="single" w:color="auto" w:sz="8" w:space="0"/>
              <w:right w:val="single" w:color="auto" w:sz="8" w:space="0"/>
            </w:tcBorders>
            <w:shd w:val="clear"/>
            <w:tcMar>
              <w:left w:w="30" w:type="dxa"/>
              <w:right w:w="30" w:type="dxa"/>
            </w:tcMar>
            <w:vAlign w:val="center"/>
          </w:tcPr>
          <w:p>
            <w:pPr>
              <w:rPr>
                <w:rFonts w:hint="eastAsia" w:ascii="宋体"/>
                <w:sz w:val="24"/>
                <w:szCs w:val="24"/>
              </w:rPr>
            </w:pPr>
          </w:p>
        </w:tc>
        <w:tc>
          <w:tcPr>
            <w:tcW w:w="3621" w:type="dxa"/>
            <w:gridSpan w:val="6"/>
            <w:vMerge w:val="continue"/>
            <w:tcBorders>
              <w:top w:val="nil"/>
              <w:left w:val="nil"/>
              <w:bottom w:val="single" w:color="auto" w:sz="8" w:space="0"/>
              <w:right w:val="single" w:color="auto" w:sz="8" w:space="0"/>
            </w:tcBorders>
            <w:shd w:val="clear"/>
            <w:tcMar>
              <w:left w:w="30" w:type="dxa"/>
              <w:right w:w="30" w:type="dxa"/>
            </w:tcMar>
            <w:vAlign w:val="center"/>
          </w:tcPr>
          <w:p>
            <w:pPr>
              <w:rPr>
                <w:rFonts w:hint="eastAsia" w:ascii="宋体"/>
                <w:sz w:val="24"/>
                <w:szCs w:val="24"/>
              </w:rPr>
            </w:pPr>
          </w:p>
        </w:tc>
        <w:tc>
          <w:tcPr>
            <w:tcW w:w="724" w:type="dxa"/>
            <w:gridSpan w:val="2"/>
            <w:vMerge w:val="continue"/>
            <w:tcBorders>
              <w:top w:val="nil"/>
              <w:left w:val="nil"/>
              <w:bottom w:val="single" w:color="auto" w:sz="8" w:space="0"/>
              <w:right w:val="single" w:color="auto" w:sz="8" w:space="0"/>
            </w:tcBorders>
            <w:shd w:val="clear"/>
            <w:tcMar>
              <w:left w:w="30" w:type="dxa"/>
              <w:right w:w="30" w:type="dxa"/>
            </w:tcMar>
            <w:vAlign w:val="center"/>
          </w:tcPr>
          <w:p>
            <w:pPr>
              <w:rPr>
                <w:rFonts w:hint="eastAsia" w:ascii="宋体"/>
                <w:sz w:val="24"/>
                <w:szCs w:val="24"/>
              </w:rPr>
            </w:pPr>
          </w:p>
        </w:tc>
        <w:tc>
          <w:tcPr>
            <w:tcW w:w="4477" w:type="dxa"/>
            <w:gridSpan w:val="6"/>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2"/>
              <w:jc w:val="left"/>
              <w:rPr>
                <w:rFonts w:hint="default" w:ascii="Times New Roman" w:hAnsi="Times New Roman" w:cs="Times New Roman"/>
                <w:sz w:val="21"/>
                <w:szCs w:val="21"/>
              </w:rPr>
            </w:pPr>
            <w:r>
              <w:rPr>
                <w:rFonts w:hint="eastAsia" w:ascii="楷体" w:hAnsi="楷体" w:eastAsia="楷体" w:cs="楷体"/>
                <w:b/>
                <w:sz w:val="24"/>
                <w:szCs w:val="24"/>
                <w:bdr w:val="none" w:color="auto" w:sz="0" w:space="0"/>
              </w:rPr>
              <w:t>经审查，符合引进资格条件。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楷体" w:hAnsi="楷体" w:eastAsia="楷体" w:cs="楷体"/>
                <w:sz w:val="24"/>
                <w:szCs w:val="24"/>
                <w:bdr w:val="none" w:color="auto" w:sz="0" w:space="0"/>
              </w:rPr>
              <w:t>审查人签名：    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1999"/>
              <w:jc w:val="both"/>
              <w:rPr>
                <w:rFonts w:hint="default" w:ascii="Times New Roman" w:hAnsi="Times New Roman" w:cs="Times New Roman"/>
                <w:sz w:val="21"/>
                <w:szCs w:val="21"/>
              </w:rPr>
            </w:pPr>
            <w:r>
              <w:rPr>
                <w:rFonts w:hint="eastAsia" w:ascii="楷体" w:hAnsi="楷体" w:eastAsia="楷体" w:cs="楷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firstLine="1999"/>
              <w:jc w:val="both"/>
              <w:rPr>
                <w:rFonts w:hint="default" w:ascii="Times New Roman" w:hAnsi="Times New Roman" w:cs="Times New Roman"/>
                <w:sz w:val="21"/>
                <w:szCs w:val="21"/>
              </w:rPr>
            </w:pPr>
            <w:r>
              <w:rPr>
                <w:rFonts w:hint="eastAsia" w:ascii="楷体" w:hAnsi="楷体" w:eastAsia="楷体" w:cs="楷体"/>
                <w:sz w:val="24"/>
                <w:szCs w:val="24"/>
                <w:bdr w:val="none" w:color="auto" w:sz="0" w:space="0"/>
              </w:rPr>
              <w:t>年     月    日</w:t>
            </w:r>
          </w:p>
        </w:tc>
      </w:tr>
      <w:tr>
        <w:tblPrEx>
          <w:shd w:val="clear"/>
          <w:tblCellMar>
            <w:top w:w="0" w:type="dxa"/>
            <w:left w:w="0" w:type="dxa"/>
            <w:bottom w:w="0" w:type="dxa"/>
            <w:right w:w="0" w:type="dxa"/>
          </w:tblCellMar>
        </w:tblPrEx>
        <w:trPr>
          <w:trHeight w:val="492" w:hRule="atLeast"/>
          <w:jc w:val="center"/>
        </w:trPr>
        <w:tc>
          <w:tcPr>
            <w:tcW w:w="543" w:type="dxa"/>
            <w:tcBorders>
              <w:top w:val="nil"/>
              <w:left w:val="single" w:color="auto" w:sz="8" w:space="0"/>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bdr w:val="none" w:color="auto" w:sz="0" w:space="0"/>
              </w:rPr>
              <w:t>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1"/>
                <w:szCs w:val="21"/>
                <w:bdr w:val="none" w:color="auto" w:sz="0" w:space="0"/>
              </w:rPr>
              <w:t>注</w:t>
            </w:r>
          </w:p>
        </w:tc>
        <w:tc>
          <w:tcPr>
            <w:tcW w:w="8822" w:type="dxa"/>
            <w:gridSpan w:val="14"/>
            <w:tcBorders>
              <w:top w:val="nil"/>
              <w:left w:val="nil"/>
              <w:bottom w:val="single" w:color="auto" w:sz="8" w:space="0"/>
              <w:right w:val="single" w:color="auto" w:sz="8" w:space="0"/>
            </w:tcBorders>
            <w:shd w:val="clear"/>
            <w:tcMar>
              <w:left w:w="30" w:type="dxa"/>
              <w:right w:w="3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宋体" w:hAnsi="宋体" w:eastAsia="宋体" w:cs="宋体"/>
                <w:sz w:val="24"/>
                <w:szCs w:val="24"/>
                <w:bdr w:val="none" w:color="auto" w:sz="0" w:space="0"/>
              </w:rPr>
              <w:t> </w:t>
            </w:r>
          </w:p>
        </w:tc>
      </w:tr>
      <w:tr>
        <w:tblPrEx>
          <w:shd w:val="clear"/>
          <w:tblCellMar>
            <w:top w:w="0" w:type="dxa"/>
            <w:left w:w="0" w:type="dxa"/>
            <w:bottom w:w="0" w:type="dxa"/>
            <w:right w:w="0" w:type="dxa"/>
          </w:tblCellMar>
        </w:tblPrEx>
        <w:trPr>
          <w:trHeight w:val="0" w:hRule="atLeast"/>
          <w:jc w:val="center"/>
        </w:trPr>
        <w:tc>
          <w:tcPr>
            <w:tcW w:w="540" w:type="dxa"/>
            <w:shd w:val="clear"/>
            <w:vAlign w:val="center"/>
          </w:tcPr>
          <w:p>
            <w:pPr>
              <w:rPr>
                <w:rFonts w:hint="eastAsia" w:ascii="宋体"/>
                <w:sz w:val="24"/>
                <w:szCs w:val="24"/>
              </w:rPr>
            </w:pPr>
          </w:p>
        </w:tc>
        <w:tc>
          <w:tcPr>
            <w:tcW w:w="720" w:type="dxa"/>
            <w:shd w:val="clear"/>
            <w:vAlign w:val="center"/>
          </w:tcPr>
          <w:p>
            <w:pPr>
              <w:rPr>
                <w:rFonts w:hint="eastAsia" w:ascii="宋体"/>
                <w:sz w:val="24"/>
                <w:szCs w:val="24"/>
              </w:rPr>
            </w:pPr>
          </w:p>
        </w:tc>
        <w:tc>
          <w:tcPr>
            <w:tcW w:w="6" w:type="dxa"/>
            <w:shd w:val="clear"/>
            <w:vAlign w:val="center"/>
          </w:tcPr>
          <w:p>
            <w:pPr>
              <w:rPr>
                <w:rFonts w:hint="eastAsia" w:ascii="宋体"/>
                <w:sz w:val="24"/>
                <w:szCs w:val="24"/>
              </w:rPr>
            </w:pPr>
          </w:p>
        </w:tc>
        <w:tc>
          <w:tcPr>
            <w:tcW w:w="1785" w:type="dxa"/>
            <w:shd w:val="clear"/>
            <w:vAlign w:val="center"/>
          </w:tcPr>
          <w:p>
            <w:pPr>
              <w:rPr>
                <w:rFonts w:hint="eastAsia" w:ascii="宋体"/>
                <w:sz w:val="24"/>
                <w:szCs w:val="24"/>
              </w:rPr>
            </w:pPr>
          </w:p>
        </w:tc>
        <w:tc>
          <w:tcPr>
            <w:tcW w:w="15" w:type="dxa"/>
            <w:shd w:val="clear"/>
            <w:vAlign w:val="center"/>
          </w:tcPr>
          <w:p>
            <w:pPr>
              <w:rPr>
                <w:rFonts w:hint="eastAsia" w:ascii="宋体"/>
                <w:sz w:val="24"/>
                <w:szCs w:val="24"/>
              </w:rPr>
            </w:pPr>
          </w:p>
        </w:tc>
        <w:tc>
          <w:tcPr>
            <w:tcW w:w="1080" w:type="dxa"/>
            <w:shd w:val="clear"/>
            <w:vAlign w:val="center"/>
          </w:tcPr>
          <w:p>
            <w:pPr>
              <w:rPr>
                <w:rFonts w:hint="eastAsia" w:ascii="宋体"/>
                <w:sz w:val="24"/>
                <w:szCs w:val="24"/>
              </w:rPr>
            </w:pPr>
          </w:p>
        </w:tc>
        <w:tc>
          <w:tcPr>
            <w:tcW w:w="15" w:type="dxa"/>
            <w:shd w:val="clear"/>
            <w:vAlign w:val="center"/>
          </w:tcPr>
          <w:p>
            <w:pPr>
              <w:rPr>
                <w:rFonts w:hint="eastAsia" w:ascii="宋体"/>
                <w:sz w:val="24"/>
                <w:szCs w:val="24"/>
              </w:rPr>
            </w:pPr>
          </w:p>
        </w:tc>
        <w:tc>
          <w:tcPr>
            <w:tcW w:w="645" w:type="dxa"/>
            <w:shd w:val="clear"/>
            <w:vAlign w:val="center"/>
          </w:tcPr>
          <w:p>
            <w:pPr>
              <w:rPr>
                <w:rFonts w:hint="eastAsia" w:ascii="宋体"/>
                <w:sz w:val="24"/>
                <w:szCs w:val="24"/>
              </w:rPr>
            </w:pPr>
          </w:p>
        </w:tc>
        <w:tc>
          <w:tcPr>
            <w:tcW w:w="90" w:type="dxa"/>
            <w:shd w:val="clear"/>
            <w:vAlign w:val="center"/>
          </w:tcPr>
          <w:p>
            <w:pPr>
              <w:rPr>
                <w:rFonts w:hint="eastAsia" w:ascii="宋体"/>
                <w:sz w:val="24"/>
                <w:szCs w:val="24"/>
              </w:rPr>
            </w:pPr>
          </w:p>
        </w:tc>
        <w:tc>
          <w:tcPr>
            <w:tcW w:w="105" w:type="dxa"/>
            <w:shd w:val="clear"/>
            <w:vAlign w:val="center"/>
          </w:tcPr>
          <w:p>
            <w:pPr>
              <w:rPr>
                <w:rFonts w:hint="eastAsia" w:ascii="宋体"/>
                <w:sz w:val="24"/>
                <w:szCs w:val="24"/>
              </w:rPr>
            </w:pPr>
          </w:p>
        </w:tc>
        <w:tc>
          <w:tcPr>
            <w:tcW w:w="1365" w:type="dxa"/>
            <w:shd w:val="clear"/>
            <w:vAlign w:val="center"/>
          </w:tcPr>
          <w:p>
            <w:pPr>
              <w:rPr>
                <w:rFonts w:hint="eastAsia" w:ascii="宋体"/>
                <w:sz w:val="24"/>
                <w:szCs w:val="24"/>
              </w:rPr>
            </w:pPr>
          </w:p>
        </w:tc>
        <w:tc>
          <w:tcPr>
            <w:tcW w:w="1020" w:type="dxa"/>
            <w:shd w:val="clear"/>
            <w:vAlign w:val="center"/>
          </w:tcPr>
          <w:p>
            <w:pPr>
              <w:rPr>
                <w:rFonts w:hint="eastAsia" w:ascii="宋体"/>
                <w:sz w:val="24"/>
                <w:szCs w:val="24"/>
              </w:rPr>
            </w:pPr>
          </w:p>
        </w:tc>
        <w:tc>
          <w:tcPr>
            <w:tcW w:w="240" w:type="dxa"/>
            <w:shd w:val="clear"/>
            <w:vAlign w:val="center"/>
          </w:tcPr>
          <w:p>
            <w:pPr>
              <w:rPr>
                <w:rFonts w:hint="eastAsia" w:ascii="宋体"/>
                <w:sz w:val="24"/>
                <w:szCs w:val="24"/>
              </w:rPr>
            </w:pPr>
          </w:p>
        </w:tc>
        <w:tc>
          <w:tcPr>
            <w:tcW w:w="6" w:type="dxa"/>
            <w:shd w:val="clear"/>
            <w:vAlign w:val="center"/>
          </w:tcPr>
          <w:p>
            <w:pPr>
              <w:rPr>
                <w:rFonts w:hint="eastAsia" w:ascii="宋体"/>
                <w:sz w:val="24"/>
                <w:szCs w:val="24"/>
              </w:rPr>
            </w:pPr>
          </w:p>
        </w:tc>
        <w:tc>
          <w:tcPr>
            <w:tcW w:w="1755" w:type="dxa"/>
            <w:shd w:val="clear"/>
            <w:vAlign w:val="center"/>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Times New Roman" w:hAnsi="Times New Roman" w:cs="Times New Roman"/>
          <w:sz w:val="21"/>
          <w:szCs w:val="21"/>
        </w:rPr>
      </w:pPr>
      <w:r>
        <w:rPr>
          <w:rFonts w:hint="eastAsia" w:ascii="宋体" w:hAnsi="宋体" w:eastAsia="宋体" w:cs="宋体"/>
          <w:sz w:val="21"/>
          <w:szCs w:val="21"/>
          <w:bdr w:val="none" w:color="auto" w:sz="0" w:space="0"/>
        </w:rPr>
        <w:t>说明：</w:t>
      </w:r>
      <w:r>
        <w:rPr>
          <w:rFonts w:hint="default" w:ascii="Times New Roman" w:hAnsi="Times New Roman" w:cs="Times New Roman"/>
          <w:sz w:val="21"/>
          <w:szCs w:val="21"/>
          <w:bdr w:val="none" w:color="auto" w:sz="0" w:space="0"/>
        </w:rPr>
        <w:t>1</w:t>
      </w:r>
      <w:r>
        <w:rPr>
          <w:rFonts w:hint="eastAsia" w:ascii="宋体" w:hAnsi="宋体" w:eastAsia="宋体" w:cs="宋体"/>
          <w:sz w:val="21"/>
          <w:szCs w:val="21"/>
          <w:bdr w:val="none" w:color="auto" w:sz="0" w:space="0"/>
        </w:rPr>
        <w:t>、报名序号由引进单位填写。</w:t>
      </w:r>
      <w:r>
        <w:rPr>
          <w:rFonts w:hint="default" w:ascii="Times New Roman" w:hAnsi="Times New Roman" w:cs="Times New Roman"/>
          <w:sz w:val="21"/>
          <w:szCs w:val="21"/>
          <w:bdr w:val="none" w:color="auto" w:sz="0" w:space="0"/>
        </w:rPr>
        <w:t>2</w:t>
      </w:r>
      <w:r>
        <w:rPr>
          <w:rFonts w:hint="eastAsia" w:ascii="宋体" w:hAnsi="宋体" w:eastAsia="宋体" w:cs="宋体"/>
          <w:sz w:val="21"/>
          <w:szCs w:val="21"/>
          <w:bdr w:val="none" w:color="auto" w:sz="0" w:space="0"/>
        </w:rPr>
        <w:t>、考生必须如实填写上述内容，如填报虚假信息者，取消考试或引进资格。</w:t>
      </w:r>
      <w:r>
        <w:rPr>
          <w:rFonts w:hint="default" w:ascii="Times New Roman" w:hAnsi="Times New Roman" w:cs="Times New Roman"/>
          <w:sz w:val="21"/>
          <w:szCs w:val="21"/>
          <w:bdr w:val="none" w:color="auto" w:sz="0" w:space="0"/>
        </w:rPr>
        <w:t>3</w:t>
      </w:r>
      <w:r>
        <w:rPr>
          <w:rFonts w:hint="eastAsia" w:ascii="宋体" w:hAnsi="宋体" w:eastAsia="宋体" w:cs="宋体"/>
          <w:sz w:val="21"/>
          <w:szCs w:val="21"/>
          <w:bdr w:val="none" w:color="auto" w:sz="0" w:space="0"/>
        </w:rPr>
        <w:t>、报名人员必须填写有效地址及固定电话、移动电话并保证电话畅通，否则因联系方式原因影响考试的，由报名人员本人承担责任。</w:t>
      </w:r>
      <w:r>
        <w:rPr>
          <w:rFonts w:hint="default" w:ascii="Times New Roman" w:hAnsi="Times New Roman" w:cs="Times New Roman"/>
          <w:sz w:val="21"/>
          <w:szCs w:val="21"/>
          <w:bdr w:val="none" w:color="auto" w:sz="0" w:space="0"/>
        </w:rPr>
        <w:t>4</w:t>
      </w:r>
      <w:r>
        <w:rPr>
          <w:rFonts w:hint="eastAsia" w:ascii="宋体" w:hAnsi="宋体" w:eastAsia="宋体" w:cs="宋体"/>
          <w:sz w:val="21"/>
          <w:szCs w:val="21"/>
          <w:bdr w:val="none" w:color="auto" w:sz="0" w:space="0"/>
        </w:rPr>
        <w:t>、经审查符合考试资格条件后，此表由引进单位留存，并由考生现场登记确认。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18"/>
          <w:szCs w:val="18"/>
        </w:rPr>
      </w:pPr>
      <w:r>
        <w:rPr>
          <w:rFonts w:hint="default" w:ascii="Times New Roman" w:hAnsi="Times New Roman" w:cs="Times New Roman"/>
          <w:sz w:val="18"/>
          <w:szCs w:val="1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both"/>
        <w:rPr>
          <w:rFonts w:hint="default" w:ascii="Times New Roman" w:hAnsi="Times New Roman" w:cs="Times New Roman"/>
          <w:sz w:val="21"/>
          <w:szCs w:val="21"/>
        </w:rPr>
      </w:pPr>
      <w:r>
        <w:rPr>
          <w:rFonts w:hint="eastAsia" w:ascii="宋体" w:hAnsi="宋体" w:eastAsia="宋体" w:cs="宋体"/>
          <w:sz w:val="28"/>
          <w:szCs w:val="28"/>
          <w:bdr w:val="none" w:color="auto" w:sz="0" w:space="0"/>
          <w:shd w:val="clear" w:fill="FFFFFF"/>
        </w:rPr>
        <w:t>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44"/>
          <w:szCs w:val="44"/>
          <w:bdr w:val="none" w:color="auto" w:sz="0" w:space="0"/>
          <w:shd w:val="clear" w:fill="FFFFFF"/>
        </w:rPr>
        <w:t>新邵县第一中学简介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720"/>
        <w:jc w:val="both"/>
        <w:rPr>
          <w:rFonts w:hint="default" w:ascii="Times New Roman" w:hAnsi="Times New Roman" w:cs="Times New Roman"/>
          <w:sz w:val="21"/>
          <w:szCs w:val="21"/>
        </w:rPr>
      </w:pPr>
      <w:r>
        <w:rPr>
          <w:rFonts w:hint="eastAsia" w:ascii="宋体" w:hAnsi="宋体" w:eastAsia="宋体" w:cs="宋体"/>
          <w:sz w:val="36"/>
          <w:szCs w:val="36"/>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新邵县第一中学创建于1949年，为新邵县普通高级中学；2001年7月晋升为邵阳市示范性普通高级中学；2003年8月晋升为湖南省示范性普通高级中学。学校坐落在新邵县酿溪镇大坪开发区，占地面积150余亩，建筑面积4.8万平方米，现有57个教学班，在校学生3200余人，教职员工273人，其中特级教师2人，正高级教师2人，高级教师88人，一级教师119人，硕士研究生24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1996年以来，县委、政府、人大、政协将新邵一中创建湖南省示范性普通高级中学列为重点建设工程，先后投入近二亿元全面整修校园环境，高标准打造湖南省示范性普通高级中学：教学大楼5000平方米，可容纳58个教学班；科教楼3200平方米，配备了实验室、计算机室、音乐室、舞蹈室、美术室、通用技术室、多功能报告厅；图书馆2480平方米，藏书10万册；学生公寓5栋，可容纳3000学生寄宿；学生食堂4112平方米，可保证3000名学生正常就餐；篮球运动场、400米塑胶跑道的田径运动场和14500平方米的体艺中心，满足体育教学所需；智慧校园网络系统和电子监控中心等一应俱全。学校布局合理，环境优美，风景秀丽，文化氛围浓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七十年以来，学校贯彻执行党的教育方针，努力办人民满意教育。截至今日，三万余学子智慧在这里集聚，理想从这里启航；仅恢复高考以来，已培养湖南省理科状元陈前辉、全国物理奥赛金牌得主钟中等32名清华、北大才俊。学校还先后被授予“全国快速作文实验学校”、“省文明卫生单位”、“省安全文明校园”、“省园林式单位”、“省现代教育技术实验学校”、“省校务公开示范单位”、“邵阳市中小学教学质量评价优胜单位”等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正是长风破浪时，直挂云帆济沧海。新邵一中正以习近平新时代中国特色社会主义思想为指导，全面推行素质教育，积极践行“以人为本，追求卓越”的办学理念，着力体现“三自”（自主、自觉、自强）、“三爱”（爱教育、爱学校，爱学生）、“三满意”（创人民满意教育、办家长满意学校、做学生满意教师）的工作要求，彰显“质量立校、人才兴校、教研强校”的丰采魅力，擘画教育改革发展的崭新图景，书写办人民满意教育的“奋进之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30"/>
          <w:szCs w:val="3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312"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44"/>
          <w:szCs w:val="44"/>
          <w:bdr w:val="none" w:color="auto" w:sz="0" w:space="0"/>
          <w:shd w:val="clear" w:fill="FFFFFF"/>
        </w:rPr>
        <w:t>新邵县第二中学简介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312"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30"/>
          <w:szCs w:val="30"/>
          <w:bdr w:val="none" w:color="auto" w:sz="0" w:space="0"/>
          <w:shd w:val="clear" w:fill="FFFFFF"/>
        </w:rPr>
        <w:drawing>
          <wp:inline distT="0" distB="0" distL="114300" distR="114300">
            <wp:extent cx="2419350" cy="1495425"/>
            <wp:effectExtent l="0" t="0" r="0" b="0"/>
            <wp:docPr id="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6"/>
                    <pic:cNvPicPr>
                      <a:picLocks noChangeAspect="1"/>
                    </pic:cNvPicPr>
                  </pic:nvPicPr>
                  <pic:blipFill>
                    <a:blip r:embed="rId4"/>
                    <a:stretch>
                      <a:fillRect/>
                    </a:stretch>
                  </pic:blipFill>
                  <pic:spPr>
                    <a:xfrm>
                      <a:off x="0" y="0"/>
                      <a:ext cx="2419350" cy="1495425"/>
                    </a:xfrm>
                    <a:prstGeom prst="rect">
                      <a:avLst/>
                    </a:prstGeom>
                    <a:noFill/>
                    <a:ln w="9525">
                      <a:noFill/>
                    </a:ln>
                  </pic:spPr>
                </pic:pic>
              </a:graphicData>
            </a:graphic>
          </wp:inline>
        </w:drawing>
      </w:r>
      <w:r>
        <w:rPr>
          <w:rFonts w:hint="eastAsia" w:ascii="宋体" w:hAnsi="宋体" w:eastAsia="宋体" w:cs="宋体"/>
          <w:b/>
          <w:sz w:val="30"/>
          <w:szCs w:val="30"/>
          <w:bdr w:val="none" w:color="auto" w:sz="0" w:space="0"/>
          <w:shd w:val="clear" w:fill="FFFFFF"/>
        </w:rPr>
        <w:drawing>
          <wp:inline distT="0" distB="0" distL="114300" distR="114300">
            <wp:extent cx="2266950" cy="1514475"/>
            <wp:effectExtent l="0" t="0" r="0" b="0"/>
            <wp:docPr id="5" name="图片 5"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7"/>
                    <pic:cNvPicPr>
                      <a:picLocks noChangeAspect="1"/>
                    </pic:cNvPicPr>
                  </pic:nvPicPr>
                  <pic:blipFill>
                    <a:blip r:embed="rId4"/>
                    <a:stretch>
                      <a:fillRect/>
                    </a:stretch>
                  </pic:blipFill>
                  <pic:spPr>
                    <a:xfrm>
                      <a:off x="0" y="0"/>
                      <a:ext cx="2266950" cy="1514475"/>
                    </a:xfrm>
                    <a:prstGeom prst="rect">
                      <a:avLst/>
                    </a:prstGeom>
                    <a:noFill/>
                    <a:ln w="9525">
                      <a:noFill/>
                    </a:ln>
                  </pic:spPr>
                </pic:pic>
              </a:graphicData>
            </a:graphic>
          </wp:inline>
        </w:drawing>
      </w:r>
      <w:r>
        <w:rPr>
          <w:rFonts w:hint="eastAsia" w:ascii="宋体" w:hAnsi="宋体" w:eastAsia="宋体" w:cs="宋体"/>
          <w:b/>
          <w:sz w:val="30"/>
          <w:szCs w:val="30"/>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bdr w:val="none" w:color="auto" w:sz="0" w:space="0"/>
        </w:rPr>
        <w:t>新邵县第二中学是一所邵阳市示范性普通高级中学，始建于1902年，已有118年的办学历史。学校位于新邵、冷水江、涟源三县市交界处，高铁新城旁，交通便利。目前，学校占地面积50多万平方米，总建筑面积25万多平方米，绿化面积达20万平方米。学校环境优美，树木错落有致，林荫蔽日，四季鸟语花香，清幽怡人；教学区、生活区和休闲运动区布局合理，设施齐全，环境优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bdr w:val="none" w:color="auto" w:sz="0" w:space="0"/>
        </w:rPr>
        <w:t>118年来，学校造就了一批批、一代代彪炳史册、蜚声海内外的栋梁之才。有政界名流、军界骄子、学界俊彦、商界精英。如被毛主席誉为“人民教育家”的老师张干，一代报人、原大公报总编李抱一，著名女作家谢冰莹，史学家周良霄，国民党中将李文、唐星，原台湾基隆市长谢贯一，原湖南省军区副司令员黄明开，铁道部建设司副司长刘新科，知名企业家湾田集团董事长刘祖长，广州好普集团董事长颜盛繁等等，数以万计的学子在各行各业中，用他们的聪明才智，演绎着自己灿烂的人生。他们是二中的骄傲，也是二中最宝贵的财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bdr w:val="none" w:color="auto" w:sz="0" w:space="0"/>
        </w:rPr>
        <w:t>自1977年恢复高考制度以来，一支潜心办学的教师队伍奠定了学校湘中名校的基础。学校为清华大学、北京大学等名校输送了无数优异学子，考上全国重点大学就有2000多人。获得高考县理科、文科状元、考入飞行员的学生从张青青、张斌斌、钟向群到张美聪等就有19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02"/>
        <w:jc w:val="center"/>
        <w:rPr>
          <w:rFonts w:hint="default" w:ascii="Times New Roman" w:hAnsi="Times New Roman" w:cs="Times New Roman"/>
          <w:sz w:val="21"/>
          <w:szCs w:val="21"/>
        </w:rPr>
      </w:pPr>
      <w:r>
        <w:rPr>
          <w:rFonts w:hint="eastAsia" w:ascii="宋体" w:hAnsi="宋体" w:eastAsia="宋体" w:cs="宋体"/>
          <w:b/>
          <w:sz w:val="30"/>
          <w:szCs w:val="30"/>
          <w:bdr w:val="none" w:color="auto" w:sz="0" w:space="0"/>
        </w:rPr>
        <w:drawing>
          <wp:inline distT="0" distB="0" distL="114300" distR="114300">
            <wp:extent cx="3752850" cy="2000250"/>
            <wp:effectExtent l="0" t="0" r="0" b="0"/>
            <wp:docPr id="4" name="图片 6"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58"/>
                    <pic:cNvPicPr>
                      <a:picLocks noChangeAspect="1"/>
                    </pic:cNvPicPr>
                  </pic:nvPicPr>
                  <pic:blipFill>
                    <a:blip r:embed="rId4"/>
                    <a:stretch>
                      <a:fillRect/>
                    </a:stretch>
                  </pic:blipFill>
                  <pic:spPr>
                    <a:xfrm>
                      <a:off x="0" y="0"/>
                      <a:ext cx="3752850" cy="20002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312"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44"/>
          <w:szCs w:val="44"/>
          <w:bdr w:val="none" w:color="auto" w:sz="0" w:space="0"/>
          <w:shd w:val="clear" w:fill="FFFFFF"/>
        </w:rPr>
        <w:t>新邵县第三中学简介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新邵县第三中学创办于1943年，办学历史悠久，文化底蕴深厚，2002年首批授牌为邵阳市示范性高级中学。地处新田铺镇省道Ｓ217线旁，距离新邵县城仅10公里，距邵阳市区16公里，交通便利。学校占地一百余亩，布局合理，环境优美。学校现有30个教学班，在校学生1686人，有教职工127人，其中省优秀教师 3 人，省级骨干教师3人，市县级学科带头人12 人，正高级教师1人，高级教师31人，中学一级教师 42人。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近年来，学校投巨资修建了高标准的教学大楼，造型美观的学生食堂，功能齐全的学生公寓，大方实用的科教大楼。修建了标准运动场、球类运动场。连续四年均被评为新邵县高考目标管理先进单位、教育目标管理先进单位、新邵县文明校园。2019年被评为邵阳市文明校园、新邵县综合治理先进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入学低起点，毕业高质量”是我校办学的突出亮点，“求知、求真、求善，成长、成功、成才”是我校的办学理念。近年来有两人考入清华大学，其中高义奇以66４分的文化分夺取了邵阳市理科状元，被清华大学录取，先后有唐能、刘丽姣、黄冬梅获得新邵县高考文理科状元。近年来，学校把“办人民满意教育，办家长满意学校”作为目标，全体教职工真诚团结和衷共济，乐于奉献，教育教学质量一年一个台阶，由此，学校也得到了社会的广泛赞誉。</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24" w:beforeAutospacing="0" w:after="312"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44"/>
          <w:szCs w:val="44"/>
          <w:bdr w:val="none" w:color="auto" w:sz="0" w:space="0"/>
          <w:shd w:val="clear" w:fill="FFFFFF"/>
        </w:rPr>
        <w:t>新邵县第四中学简介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新邵县第四中学座落在山青水秀的大名山脚下，位于龙溪河畔之滨，与龙溪铺镇政府毗连。它创建于1951年，2006年晋升为市级示范性普通高中。学校共占地面积34944平方米，总建筑面积19552平方米。现有教学班级24个，学生1456人，在编在职教职工95人，其中高、中级教师51人，市级骨干教师11人，县级骨干教师20人。学校飞速发展，办学规模不断扩大，基础设施日趋完善。有现代化的科研教学大楼、功能齐全的办公大楼、符合国家标准的男女学生公寓和获市A级标准的学生食堂，是莘莘学子求学的理想之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办学六十多年来，共培养高初中毕业生二万多人，向高校学府输送了二千多名优秀毕业生，其中1986年刘文涛同学考入了北京大学，2011年刘堂旺同学以全县第二名的成绩考入南开大学，2014年陈宇同学考上空军飞行员、邓斌高考物理以满分位居全省第一名，2018年高考上二本以上人数达91人，2019年高考二本以上人数82人，学考一次性合格率达81.9%,2020年高考二本及以上人数85人，600分以上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从2016年起，学校争取资金900余万元，新建教师公寓一栋，新修建塑胶跑道、硅胶球场，重新规划了校园文化等。极大的改善了学校教工住宿、办公，教学场所、教学设备等条件。学校各项工作齐头并进，主要获得了以下荣誉：2017年至2020年连续四年被评为县目标管理先进单位与高考先进单位，多次荣获县优秀基层党支部，县综合治理先进单位，近年来，先后获得市五四红旗团委，市家长示范学校，市文明校园，市德育先进单位，省级安全文明单位等荣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24" w:beforeAutospacing="0" w:after="312"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44"/>
          <w:szCs w:val="4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24" w:beforeAutospacing="0" w:after="312"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44"/>
          <w:szCs w:val="44"/>
          <w:bdr w:val="none" w:color="auto" w:sz="0" w:space="0"/>
          <w:shd w:val="clear" w:fill="FFFFFF"/>
        </w:rPr>
        <w:t>新邵县第五中学简介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新邵县第五中学创建于1958年，现为邵阳市市级示范性普通高级中学。学校现有在职在编职工64人，专任教师60人，高级职称17人，中级职称42人。学生人数逐年增加，现有19个班级，在校学生1000多人。校园面积40多亩，教学楼、师生食宿楼、实验室、仪器室、图书室、阅览室等配套齐全，学校高标准装备了教室多媒体设施，建立了宽带校园网络、广播系统。学校翠柏参天，香樟蔽日，绿草如茵，鸟语花香，环境优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学校历来以治学严谨著称，育才拔贤，培养出了一大批优秀人才，原湖南省社科院院长、博士生导师朱有志，原武汉海关关长、著名书画家、作家何署坤，原邵阳市政协主席周吉平，原邵阳市人大副主任刘能华，获美国总统奖的科学家周集中，现湖南郴州市市长刘志仁，现广西国资委党委书记、主任李杰云等就是其中的典型代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eastAsia" w:ascii="宋体" w:hAnsi="宋体" w:eastAsia="宋体" w:cs="宋体"/>
          <w:sz w:val="28"/>
          <w:szCs w:val="28"/>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cs="Times New Roman"/>
          <w:sz w:val="21"/>
          <w:szCs w:val="21"/>
        </w:rPr>
      </w:pPr>
      <w:r>
        <w:rPr>
          <w:rFonts w:hint="eastAsia" w:ascii="宋体" w:hAnsi="宋体" w:eastAsia="宋体" w:cs="宋体"/>
          <w:b/>
          <w:sz w:val="30"/>
          <w:szCs w:val="30"/>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default" w:ascii="Times New Roman" w:hAnsi="Times New Roman" w:cs="Times New Roman"/>
          <w:sz w:val="21"/>
          <w:szCs w:val="21"/>
        </w:rPr>
      </w:pPr>
      <w:r>
        <w:rPr>
          <w:rFonts w:hint="eastAsia" w:ascii="宋体" w:hAnsi="宋体" w:eastAsia="宋体" w:cs="宋体"/>
          <w:b/>
          <w:sz w:val="30"/>
          <w:szCs w:val="30"/>
          <w:bdr w:val="none" w:color="auto" w:sz="0" w:space="0"/>
        </w:rPr>
        <w:t> </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624" w:beforeAutospacing="0" w:after="312" w:afterAutospacing="0" w:line="520" w:lineRule="atLeast"/>
        <w:ind w:left="0" w:right="0"/>
        <w:jc w:val="center"/>
        <w:rPr>
          <w:rFonts w:hint="default" w:ascii="Times New Roman" w:hAnsi="Times New Roman" w:cs="Times New Roman"/>
          <w:sz w:val="21"/>
          <w:szCs w:val="21"/>
        </w:rPr>
      </w:pPr>
      <w:r>
        <w:rPr>
          <w:rFonts w:hint="eastAsia" w:ascii="宋体" w:hAnsi="宋体" w:eastAsia="宋体" w:cs="宋体"/>
          <w:b/>
          <w:sz w:val="44"/>
          <w:szCs w:val="44"/>
          <w:bdr w:val="none" w:color="auto" w:sz="0" w:space="0"/>
          <w:shd w:val="clear" w:fill="FFFFFF"/>
        </w:rPr>
        <w:t>新邵县第八中学简介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    新邵县第八中学创建于1949年，是邵阳市唯一的省级特色示范学校,坐落于新邵县城风景秀丽的栗山之麓资水之滨，交通便利，环境优雅,名师云集，校风朴实，人才辈出。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    近年来，学校先后荣获“全国特色学校”“全国模范教工之家”“全国校园足球特色学校”“全国校园篮球特色学校”“湖南省心理健康发展特色学校”“湖南省现代教育技术实验学校”“湖南省安全文明校园”“湖南省园林式校园”“湖南省A级卫生食堂”等100多项市县级以上荣誉称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    新邵八中规模宏大，占地面积260余亩，布局规范合理，四时景色宜人。现有66个教学班级，在校学生3468人。学校设施齐全、设备先进，拥有市内一流教学楼，雄伟壮观的凌云楼，明净宽敞的后勤综合楼，舒适方便的学生公寓，标准规范的塑胶田径场，县内规模最大的塑胶篮球运动场，现代化实验室、计算机教室、多媒体教室，市内一流的阅览室、图书室、心理健康发展中心、书法室、音乐室、舞蹈室、美术室、校园书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    新邵八中师资力量雄厚，现有在职在编教职员工268人，全日制研究生学历31人，高级教师82人，市级骨干教师21人，获省级以上荣誉教师5人。学校建立了一整套有利于培养、激励青年教师快速成长的制度，教师队伍不断优化，教师素质不断提升。学校教育教学质量过硬，获得社会各界的广泛赞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both"/>
        <w:rPr>
          <w:rFonts w:hint="default" w:ascii="Times New Roman" w:hAnsi="Times New Roman" w:cs="Times New Roman"/>
          <w:sz w:val="21"/>
          <w:szCs w:val="21"/>
        </w:rPr>
      </w:pPr>
      <w:r>
        <w:rPr>
          <w:rFonts w:hint="eastAsia" w:ascii="仿宋" w:hAnsi="仿宋" w:eastAsia="仿宋" w:cs="仿宋"/>
          <w:sz w:val="32"/>
          <w:szCs w:val="32"/>
          <w:bdr w:val="none" w:color="auto" w:sz="0" w:space="0"/>
        </w:rPr>
        <w:t>    “长风破浪会有时，直挂云帆济沦海”。蒸蒸日上的新邵县第八中学正在为建设享誉三湘四水的特色名校扬帆起航！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bdr w:val="none" w:color="auto" w:sz="0" w:space="0"/>
        </w:rPr>
        <w:t> </w:t>
      </w:r>
    </w:p>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155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2021-01-12T01:38:18Z</dcterms:created>
  <dc:creator>Administrator</dc:creator>
  <cp:lastModifiedBy>痕迹。</cp:lastModifiedBy>
  <dcterms:modified xsi:type="dcterms:W3CDTF">2021-01-12T01:39:40Z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